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455CF3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455CF3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1</w:t>
            </w:r>
            <w:r w:rsidR="00E95D95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455CF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Nisan</w:t>
            </w:r>
            <w:r w:rsidR="007134AC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</w:t>
            </w:r>
            <w:r w:rsidR="00B27C50" w:rsidRPr="007134A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01</w:t>
            </w:r>
            <w:r w:rsidR="00BF566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455CF3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2019Ocak</w:t>
      </w:r>
      <w:r w:rsidR="0012715C">
        <w:rPr>
          <w:rFonts w:ascii="Times New Roman" w:hAnsi="Times New Roman" w:cs="Times New Roman"/>
          <w:b/>
        </w:rPr>
        <w:t xml:space="preserve"> ayı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 w:rsidR="00670F81"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 w:rsidR="00670F81"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Nisan</w:t>
      </w:r>
      <w:r w:rsidR="00531805">
        <w:rPr>
          <w:rFonts w:ascii="Times New Roman" w:hAnsi="Times New Roman" w:cs="Times New Roman"/>
          <w:b/>
        </w:rPr>
        <w:t xml:space="preserve"> 2019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E42BBF" w:rsidRPr="00467A4B" w:rsidRDefault="0096558F" w:rsidP="003D0B1A">
      <w:pPr>
        <w:pStyle w:val="Balk2"/>
        <w:jc w:val="both"/>
        <w:rPr>
          <w:rFonts w:ascii="Times New Roman" w:hAnsi="Times New Roman" w:cs="Times New Roman"/>
          <w:sz w:val="24"/>
        </w:rPr>
      </w:pPr>
      <w:r w:rsidRPr="00467A4B">
        <w:rPr>
          <w:rFonts w:ascii="Times New Roman" w:hAnsi="Times New Roman" w:cs="Times New Roman"/>
          <w:sz w:val="24"/>
        </w:rPr>
        <w:t>201</w:t>
      </w:r>
      <w:r w:rsidR="00455CF3" w:rsidRPr="00467A4B">
        <w:rPr>
          <w:rFonts w:ascii="Times New Roman" w:hAnsi="Times New Roman" w:cs="Times New Roman"/>
          <w:sz w:val="24"/>
        </w:rPr>
        <w:t>9</w:t>
      </w:r>
      <w:r w:rsidR="0012715C" w:rsidRPr="00467A4B">
        <w:rPr>
          <w:rFonts w:ascii="Times New Roman" w:hAnsi="Times New Roman" w:cs="Times New Roman"/>
          <w:sz w:val="24"/>
        </w:rPr>
        <w:t>’</w:t>
      </w:r>
      <w:r w:rsidR="00455CF3" w:rsidRPr="00467A4B">
        <w:rPr>
          <w:rFonts w:ascii="Times New Roman" w:hAnsi="Times New Roman" w:cs="Times New Roman"/>
          <w:sz w:val="24"/>
        </w:rPr>
        <w:t>u</w:t>
      </w:r>
      <w:r w:rsidR="002354F4" w:rsidRPr="00467A4B">
        <w:rPr>
          <w:rFonts w:ascii="Times New Roman" w:hAnsi="Times New Roman" w:cs="Times New Roman"/>
          <w:sz w:val="24"/>
        </w:rPr>
        <w:t xml:space="preserve">n </w:t>
      </w:r>
      <w:r w:rsidR="00455CF3" w:rsidRPr="00467A4B">
        <w:rPr>
          <w:rFonts w:ascii="Times New Roman" w:hAnsi="Times New Roman" w:cs="Times New Roman"/>
          <w:sz w:val="24"/>
        </w:rPr>
        <w:t>Ocak</w:t>
      </w:r>
      <w:r w:rsidR="0012715C" w:rsidRPr="00467A4B">
        <w:rPr>
          <w:rFonts w:ascii="Times New Roman" w:hAnsi="Times New Roman" w:cs="Times New Roman"/>
          <w:sz w:val="24"/>
        </w:rPr>
        <w:t>a</w:t>
      </w:r>
      <w:r w:rsidR="0048395E" w:rsidRPr="00467A4B">
        <w:rPr>
          <w:rFonts w:ascii="Times New Roman" w:hAnsi="Times New Roman" w:cs="Times New Roman"/>
          <w:sz w:val="24"/>
        </w:rPr>
        <w:t>yında Türkiye’deki toplam işsizsayısı</w:t>
      </w:r>
      <w:r w:rsidR="00C97EF7" w:rsidRPr="00467A4B">
        <w:rPr>
          <w:rFonts w:ascii="Times New Roman" w:hAnsi="Times New Roman" w:cs="Times New Roman"/>
          <w:sz w:val="24"/>
        </w:rPr>
        <w:t xml:space="preserve">, geçen yılın </w:t>
      </w:r>
      <w:r w:rsidR="00F9792D" w:rsidRPr="00467A4B">
        <w:rPr>
          <w:rFonts w:ascii="Times New Roman" w:hAnsi="Times New Roman" w:cs="Times New Roman"/>
          <w:sz w:val="24"/>
        </w:rPr>
        <w:t>aynı</w:t>
      </w:r>
      <w:r w:rsidR="003C66BD" w:rsidRPr="00467A4B">
        <w:rPr>
          <w:rFonts w:ascii="Times New Roman" w:hAnsi="Times New Roman" w:cs="Times New Roman"/>
          <w:sz w:val="24"/>
        </w:rPr>
        <w:t xml:space="preserve"> dönemine göre </w:t>
      </w:r>
      <w:r w:rsidR="00455CF3" w:rsidRPr="00467A4B">
        <w:rPr>
          <w:rFonts w:ascii="Times New Roman" w:hAnsi="Times New Roman" w:cs="Times New Roman"/>
          <w:sz w:val="24"/>
        </w:rPr>
        <w:t>1 milyon 259</w:t>
      </w:r>
      <w:r w:rsidR="00F9792D" w:rsidRPr="00467A4B">
        <w:rPr>
          <w:rFonts w:ascii="Times New Roman" w:hAnsi="Times New Roman" w:cs="Times New Roman"/>
          <w:sz w:val="24"/>
        </w:rPr>
        <w:t xml:space="preserve"> bin kişi </w:t>
      </w:r>
      <w:r w:rsidR="007134AC" w:rsidRPr="00467A4B">
        <w:rPr>
          <w:rFonts w:ascii="Times New Roman" w:hAnsi="Times New Roman" w:cs="Times New Roman"/>
          <w:sz w:val="24"/>
        </w:rPr>
        <w:t>a</w:t>
      </w:r>
      <w:r w:rsidR="00531805" w:rsidRPr="00467A4B">
        <w:rPr>
          <w:rFonts w:ascii="Times New Roman" w:hAnsi="Times New Roman" w:cs="Times New Roman"/>
          <w:sz w:val="24"/>
        </w:rPr>
        <w:t>rtarak 4</w:t>
      </w:r>
      <w:r w:rsidR="00CC76E5" w:rsidRPr="00467A4B">
        <w:rPr>
          <w:rFonts w:ascii="Times New Roman" w:hAnsi="Times New Roman" w:cs="Times New Roman"/>
          <w:sz w:val="24"/>
        </w:rPr>
        <w:t xml:space="preserve"> milyon </w:t>
      </w:r>
      <w:r w:rsidR="00455CF3" w:rsidRPr="00467A4B">
        <w:rPr>
          <w:rFonts w:ascii="Times New Roman" w:hAnsi="Times New Roman" w:cs="Times New Roman"/>
          <w:sz w:val="24"/>
        </w:rPr>
        <w:t>668</w:t>
      </w:r>
      <w:r w:rsidR="00C97EF7" w:rsidRPr="00467A4B">
        <w:rPr>
          <w:rFonts w:ascii="Times New Roman" w:hAnsi="Times New Roman" w:cs="Times New Roman"/>
          <w:sz w:val="24"/>
        </w:rPr>
        <w:t xml:space="preserve"> bin kişi oldu. Böylece işsizlik </w:t>
      </w:r>
      <w:r w:rsidR="00455CF3" w:rsidRPr="00467A4B">
        <w:rPr>
          <w:rFonts w:ascii="Times New Roman" w:hAnsi="Times New Roman" w:cs="Times New Roman"/>
          <w:sz w:val="24"/>
        </w:rPr>
        <w:t>3,9</w:t>
      </w:r>
      <w:r w:rsidR="00CC76E5" w:rsidRPr="00467A4B">
        <w:rPr>
          <w:rFonts w:ascii="Times New Roman" w:hAnsi="Times New Roman" w:cs="Times New Roman"/>
          <w:sz w:val="24"/>
        </w:rPr>
        <w:t xml:space="preserve"> oranda artış ve</w:t>
      </w:r>
      <w:r w:rsidR="003F6B23" w:rsidRPr="00467A4B">
        <w:rPr>
          <w:rFonts w:ascii="Times New Roman" w:hAnsi="Times New Roman" w:cs="Times New Roman"/>
          <w:sz w:val="24"/>
        </w:rPr>
        <w:t xml:space="preserve"> tarım dışı işsizlik oranı ise </w:t>
      </w:r>
      <w:r w:rsidR="00455CF3" w:rsidRPr="00467A4B">
        <w:rPr>
          <w:rFonts w:ascii="Times New Roman" w:hAnsi="Times New Roman" w:cs="Times New Roman"/>
          <w:sz w:val="24"/>
        </w:rPr>
        <w:t>4,1</w:t>
      </w:r>
      <w:r w:rsidR="00E95D95" w:rsidRPr="00467A4B">
        <w:rPr>
          <w:rFonts w:ascii="Times New Roman" w:hAnsi="Times New Roman" w:cs="Times New Roman"/>
          <w:sz w:val="24"/>
        </w:rPr>
        <w:t xml:space="preserve"> pu</w:t>
      </w:r>
      <w:r w:rsidR="00F851D9" w:rsidRPr="00467A4B">
        <w:rPr>
          <w:rFonts w:ascii="Times New Roman" w:hAnsi="Times New Roman" w:cs="Times New Roman"/>
          <w:sz w:val="24"/>
        </w:rPr>
        <w:t>an art</w:t>
      </w:r>
      <w:r w:rsidR="00CC76E5" w:rsidRPr="00467A4B">
        <w:rPr>
          <w:rFonts w:ascii="Times New Roman" w:hAnsi="Times New Roman" w:cs="Times New Roman"/>
          <w:sz w:val="24"/>
        </w:rPr>
        <w:t>ış göstererek</w:t>
      </w:r>
      <w:r w:rsidR="003F6B23" w:rsidRPr="00467A4B">
        <w:rPr>
          <w:rFonts w:ascii="Times New Roman" w:hAnsi="Times New Roman" w:cs="Times New Roman"/>
          <w:sz w:val="24"/>
        </w:rPr>
        <w:t xml:space="preserve"> sı</w:t>
      </w:r>
      <w:r w:rsidR="00455CF3" w:rsidRPr="00467A4B">
        <w:rPr>
          <w:rFonts w:ascii="Times New Roman" w:hAnsi="Times New Roman" w:cs="Times New Roman"/>
          <w:sz w:val="24"/>
        </w:rPr>
        <w:t>rasıyla yüzde 14,7 ve yüzde 16</w:t>
      </w:r>
      <w:r w:rsidRPr="00467A4B">
        <w:rPr>
          <w:rFonts w:ascii="Times New Roman" w:hAnsi="Times New Roman" w:cs="Times New Roman"/>
          <w:sz w:val="24"/>
        </w:rPr>
        <w:t>,</w:t>
      </w:r>
      <w:r w:rsidR="00455CF3" w:rsidRPr="00467A4B">
        <w:rPr>
          <w:rFonts w:ascii="Times New Roman" w:hAnsi="Times New Roman" w:cs="Times New Roman"/>
          <w:sz w:val="24"/>
        </w:rPr>
        <w:t>8</w:t>
      </w:r>
      <w:r w:rsidR="00E95D95" w:rsidRPr="00467A4B">
        <w:rPr>
          <w:rFonts w:ascii="Times New Roman" w:hAnsi="Times New Roman" w:cs="Times New Roman"/>
          <w:sz w:val="24"/>
        </w:rPr>
        <w:t xml:space="preserve"> olarak gerçekleşti.</w:t>
      </w:r>
      <w:r w:rsidR="00D605AD" w:rsidRPr="00467A4B">
        <w:rPr>
          <w:rFonts w:ascii="Times New Roman" w:hAnsi="Times New Roman" w:cs="Times New Roman"/>
          <w:sz w:val="24"/>
        </w:rPr>
        <w:t xml:space="preserve"> Genç nüfusta</w:t>
      </w:r>
      <w:r w:rsidR="001E65DA" w:rsidRPr="00467A4B">
        <w:rPr>
          <w:rFonts w:ascii="Times New Roman" w:hAnsi="Times New Roman" w:cs="Times New Roman"/>
          <w:sz w:val="24"/>
        </w:rPr>
        <w:t xml:space="preserve"> işsizlik</w:t>
      </w:r>
      <w:r w:rsidR="00D605AD" w:rsidRPr="00467A4B">
        <w:rPr>
          <w:rFonts w:ascii="Times New Roman" w:hAnsi="Times New Roman" w:cs="Times New Roman"/>
          <w:sz w:val="24"/>
        </w:rPr>
        <w:t xml:space="preserve">oranı ise </w:t>
      </w:r>
      <w:r w:rsidR="00455CF3" w:rsidRPr="00467A4B">
        <w:rPr>
          <w:rFonts w:ascii="Times New Roman" w:hAnsi="Times New Roman" w:cs="Times New Roman"/>
          <w:sz w:val="24"/>
        </w:rPr>
        <w:t>6,8</w:t>
      </w:r>
      <w:r w:rsidR="003F6B23" w:rsidRPr="00467A4B">
        <w:rPr>
          <w:rFonts w:ascii="Times New Roman" w:hAnsi="Times New Roman" w:cs="Times New Roman"/>
          <w:sz w:val="24"/>
        </w:rPr>
        <w:t xml:space="preserve"> puan a</w:t>
      </w:r>
      <w:r w:rsidR="00F851D9" w:rsidRPr="00467A4B">
        <w:rPr>
          <w:rFonts w:ascii="Times New Roman" w:hAnsi="Times New Roman" w:cs="Times New Roman"/>
          <w:sz w:val="24"/>
        </w:rPr>
        <w:t xml:space="preserve">rtarak </w:t>
      </w:r>
      <w:r w:rsidR="003F6B23" w:rsidRPr="00467A4B">
        <w:rPr>
          <w:rFonts w:ascii="Times New Roman" w:hAnsi="Times New Roman" w:cs="Times New Roman"/>
          <w:sz w:val="24"/>
        </w:rPr>
        <w:t>yüzde</w:t>
      </w:r>
      <w:r w:rsidR="00455CF3" w:rsidRPr="00467A4B">
        <w:rPr>
          <w:rFonts w:ascii="Times New Roman" w:hAnsi="Times New Roman" w:cs="Times New Roman"/>
          <w:sz w:val="24"/>
        </w:rPr>
        <w:t xml:space="preserve"> 26,7</w:t>
      </w:r>
      <w:r w:rsidR="00F851D9" w:rsidRPr="00467A4B">
        <w:rPr>
          <w:rFonts w:ascii="Times New Roman" w:hAnsi="Times New Roman" w:cs="Times New Roman"/>
          <w:sz w:val="24"/>
        </w:rPr>
        <w:t>’</w:t>
      </w:r>
      <w:r w:rsidR="00455CF3" w:rsidRPr="00467A4B">
        <w:rPr>
          <w:rFonts w:ascii="Times New Roman" w:hAnsi="Times New Roman" w:cs="Times New Roman"/>
          <w:sz w:val="24"/>
        </w:rPr>
        <w:t>y</w:t>
      </w:r>
      <w:r w:rsidR="00F851D9" w:rsidRPr="00467A4B">
        <w:rPr>
          <w:rFonts w:ascii="Times New Roman" w:hAnsi="Times New Roman" w:cs="Times New Roman"/>
          <w:sz w:val="24"/>
        </w:rPr>
        <w:t>eyükseldi.</w:t>
      </w:r>
    </w:p>
    <w:p w:rsidR="003D0B1A" w:rsidRPr="003D0B1A" w:rsidRDefault="003D0B1A" w:rsidP="003D0B1A"/>
    <w:p w:rsidR="00B957A3" w:rsidRDefault="00455CF3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Ocak2019’da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236A4A">
        <w:rPr>
          <w:rFonts w:ascii="Times New Roman" w:hAnsi="Times New Roman" w:cs="Times New Roman"/>
        </w:rPr>
        <w:t>bir önceki yılın aynı dönemine</w:t>
      </w:r>
      <w:r>
        <w:rPr>
          <w:rFonts w:ascii="Times New Roman" w:hAnsi="Times New Roman" w:cs="Times New Roman"/>
        </w:rPr>
        <w:t xml:space="preserve"> göre 872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</w:t>
      </w:r>
      <w:r w:rsidR="00531805">
        <w:rPr>
          <w:rFonts w:ascii="Times New Roman" w:hAnsi="Times New Roman" w:cs="Times New Roman"/>
        </w:rPr>
        <w:t>zalış</w:t>
      </w:r>
      <w:r w:rsidR="00AF7253">
        <w:rPr>
          <w:rFonts w:ascii="Times New Roman" w:hAnsi="Times New Roman" w:cs="Times New Roman"/>
        </w:rPr>
        <w:t xml:space="preserve"> göstererek</w:t>
      </w:r>
      <w:r w:rsidR="00C707D3">
        <w:rPr>
          <w:rFonts w:ascii="Times New Roman" w:hAnsi="Times New Roman" w:cs="Times New Roman"/>
        </w:rPr>
        <w:t xml:space="preserve"> 2</w:t>
      </w:r>
      <w:r w:rsidR="00531805">
        <w:rPr>
          <w:rFonts w:ascii="Times New Roman" w:hAnsi="Times New Roman" w:cs="Times New Roman"/>
        </w:rPr>
        <w:t>7</w:t>
      </w:r>
      <w:r w:rsidR="00C707D3">
        <w:rPr>
          <w:rFonts w:ascii="Times New Roman" w:hAnsi="Times New Roman" w:cs="Times New Roman"/>
        </w:rPr>
        <w:t xml:space="preserve"> milyon </w:t>
      </w:r>
      <w:r>
        <w:rPr>
          <w:rFonts w:ascii="Times New Roman" w:hAnsi="Times New Roman" w:cs="Times New Roman"/>
        </w:rPr>
        <w:t>157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054B5D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455CF3">
        <w:rPr>
          <w:rFonts w:ascii="Times New Roman" w:hAnsi="Times New Roman" w:cs="Times New Roman"/>
          <w:b/>
          <w:szCs w:val="18"/>
        </w:rPr>
        <w:t>Ocak 2018</w:t>
      </w:r>
      <w:r w:rsidR="00EB4BA5">
        <w:rPr>
          <w:rFonts w:ascii="Times New Roman" w:hAnsi="Times New Roman" w:cs="Times New Roman"/>
          <w:b/>
          <w:szCs w:val="18"/>
        </w:rPr>
        <w:t xml:space="preserve">- </w:t>
      </w:r>
      <w:r w:rsidR="00455CF3">
        <w:rPr>
          <w:rFonts w:ascii="Times New Roman" w:hAnsi="Times New Roman" w:cs="Times New Roman"/>
          <w:b/>
          <w:szCs w:val="18"/>
        </w:rPr>
        <w:t>Ocak2019</w:t>
      </w:r>
      <w:r w:rsidR="00DE7C48" w:rsidRPr="00467A4B">
        <w:rPr>
          <w:rFonts w:ascii="Times New Roman" w:hAnsi="Times New Roman" w:cs="Times New Roman"/>
          <w:noProof/>
        </w:rPr>
        <w:drawing>
          <wp:inline distT="0" distB="0" distL="0" distR="0">
            <wp:extent cx="5972810" cy="2283460"/>
            <wp:effectExtent l="0" t="0" r="8890" b="254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8963EA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Ocak 2019’da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>
        <w:rPr>
          <w:rFonts w:ascii="Times New Roman" w:hAnsi="Times New Roman" w:cs="Times New Roman"/>
          <w:szCs w:val="18"/>
        </w:rPr>
        <w:t>2018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133</w:t>
      </w:r>
      <w:r w:rsidR="0048395E">
        <w:rPr>
          <w:rFonts w:ascii="Times New Roman" w:hAnsi="Times New Roman" w:cs="Times New Roman"/>
          <w:szCs w:val="18"/>
        </w:rPr>
        <w:t xml:space="preserve"> bin </w:t>
      </w:r>
      <w:r w:rsidR="00107728">
        <w:rPr>
          <w:rFonts w:ascii="Times New Roman" w:hAnsi="Times New Roman" w:cs="Times New Roman"/>
          <w:szCs w:val="18"/>
        </w:rPr>
        <w:t>art</w:t>
      </w:r>
      <w:r w:rsidR="000603A6">
        <w:rPr>
          <w:rFonts w:ascii="Times New Roman" w:hAnsi="Times New Roman" w:cs="Times New Roman"/>
          <w:szCs w:val="18"/>
        </w:rPr>
        <w:t>ara</w:t>
      </w:r>
      <w:r w:rsidR="0092688D">
        <w:rPr>
          <w:rFonts w:ascii="Times New Roman" w:hAnsi="Times New Roman" w:cs="Times New Roman"/>
          <w:szCs w:val="18"/>
        </w:rPr>
        <w:t>k</w:t>
      </w:r>
      <w:r w:rsidR="00145C0B">
        <w:rPr>
          <w:rFonts w:ascii="Times New Roman" w:hAnsi="Times New Roman" w:cs="Times New Roman"/>
          <w:szCs w:val="18"/>
        </w:rPr>
        <w:t>20</w:t>
      </w:r>
      <w:r w:rsidR="009D472F">
        <w:rPr>
          <w:rFonts w:ascii="Times New Roman" w:hAnsi="Times New Roman" w:cs="Times New Roman"/>
          <w:szCs w:val="18"/>
        </w:rPr>
        <w:t>,5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 w:rsidR="00107728"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>
        <w:rPr>
          <w:rFonts w:ascii="Times New Roman" w:hAnsi="Times New Roman" w:cs="Times New Roman"/>
          <w:szCs w:val="18"/>
        </w:rPr>
        <w:t>8,7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 w:rsidR="009D472F">
        <w:rPr>
          <w:rFonts w:ascii="Times New Roman" w:hAnsi="Times New Roman" w:cs="Times New Roman"/>
          <w:szCs w:val="18"/>
        </w:rPr>
        <w:t>27</w:t>
      </w:r>
      <w:r>
        <w:rPr>
          <w:rFonts w:ascii="Times New Roman" w:hAnsi="Times New Roman" w:cs="Times New Roman"/>
          <w:szCs w:val="18"/>
        </w:rPr>
        <w:t>0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60E9B">
        <w:rPr>
          <w:rFonts w:ascii="Times New Roman" w:hAnsi="Times New Roman" w:cs="Times New Roman"/>
          <w:szCs w:val="18"/>
        </w:rPr>
        <w:t>a</w:t>
      </w:r>
      <w:r w:rsidR="009D472F">
        <w:rPr>
          <w:rFonts w:ascii="Times New Roman" w:hAnsi="Times New Roman" w:cs="Times New Roman"/>
          <w:szCs w:val="18"/>
        </w:rPr>
        <w:t>rtarak 29</w:t>
      </w:r>
      <w:r>
        <w:rPr>
          <w:rFonts w:ascii="Times New Roman" w:hAnsi="Times New Roman" w:cs="Times New Roman"/>
          <w:szCs w:val="18"/>
        </w:rPr>
        <w:t>,2</w:t>
      </w:r>
      <w:r w:rsidR="001C6BBF">
        <w:rPr>
          <w:rFonts w:ascii="Times New Roman" w:hAnsi="Times New Roman" w:cs="Times New Roman"/>
          <w:szCs w:val="18"/>
        </w:rPr>
        <w:t xml:space="preserve"> milyon</w:t>
      </w:r>
      <w:r w:rsidR="000F534F">
        <w:rPr>
          <w:rFonts w:ascii="Times New Roman" w:hAnsi="Times New Roman" w:cs="Times New Roman"/>
          <w:szCs w:val="18"/>
        </w:rPr>
        <w:t xml:space="preserve"> kişiye </w:t>
      </w:r>
      <w:r w:rsidR="009D472F">
        <w:rPr>
          <w:rFonts w:ascii="Times New Roman" w:hAnsi="Times New Roman" w:cs="Times New Roman"/>
          <w:szCs w:val="18"/>
        </w:rPr>
        <w:t xml:space="preserve">yükseldi.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9D472F">
        <w:rPr>
          <w:rFonts w:ascii="Times New Roman" w:hAnsi="Times New Roman" w:cs="Times New Roman"/>
          <w:szCs w:val="18"/>
        </w:rPr>
        <w:t xml:space="preserve">istihdamı </w:t>
      </w:r>
      <w:r>
        <w:rPr>
          <w:rFonts w:ascii="Times New Roman" w:hAnsi="Times New Roman" w:cs="Times New Roman"/>
          <w:szCs w:val="18"/>
        </w:rPr>
        <w:t>4,6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9D472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5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DE7C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Ocak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DE7C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r w:rsidR="00DE7C48" w:rsidRPr="00467A4B">
        <w:rPr>
          <w:rFonts w:ascii="Times New Roman" w:hAnsi="Times New Roman" w:cs="Times New Roman"/>
          <w:noProof/>
        </w:rPr>
        <w:drawing>
          <wp:inline distT="0" distB="0" distL="0" distR="0">
            <wp:extent cx="5972810" cy="2115879"/>
            <wp:effectExtent l="0" t="0" r="889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784D01">
        <w:rPr>
          <w:rFonts w:ascii="Times New Roman" w:hAnsi="Times New Roman" w:cs="Times New Roman"/>
          <w:sz w:val="24"/>
        </w:rPr>
        <w:t>0,</w:t>
      </w:r>
      <w:r w:rsidR="008963EA">
        <w:rPr>
          <w:rFonts w:ascii="Times New Roman" w:hAnsi="Times New Roman" w:cs="Times New Roman"/>
          <w:sz w:val="24"/>
        </w:rPr>
        <w:t>4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9D472F">
        <w:rPr>
          <w:rFonts w:ascii="Times New Roman" w:hAnsi="Times New Roman" w:cs="Times New Roman"/>
          <w:sz w:val="24"/>
        </w:rPr>
        <w:t>la yüzde 33,6</w:t>
      </w:r>
      <w:r>
        <w:rPr>
          <w:rFonts w:ascii="Times New Roman" w:hAnsi="Times New Roman" w:cs="Times New Roman"/>
          <w:sz w:val="24"/>
        </w:rPr>
        <w:t>’</w:t>
      </w:r>
      <w:r w:rsidR="009D472F">
        <w:rPr>
          <w:rFonts w:ascii="Times New Roman" w:hAnsi="Times New Roman" w:cs="Times New Roman"/>
          <w:sz w:val="24"/>
        </w:rPr>
        <w:t>y</w:t>
      </w:r>
      <w:r w:rsidR="00DC031B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3D0B1A">
        <w:rPr>
          <w:rFonts w:ascii="Times New Roman" w:hAnsi="Times New Roman" w:cs="Times New Roman"/>
          <w:sz w:val="24"/>
        </w:rPr>
        <w:t>0,2 puan azalarak</w:t>
      </w:r>
      <w:r w:rsidR="001A195B">
        <w:rPr>
          <w:rFonts w:ascii="Times New Roman" w:hAnsi="Times New Roman" w:cs="Times New Roman"/>
          <w:sz w:val="24"/>
        </w:rPr>
        <w:t>yüzde 7</w:t>
      </w:r>
      <w:r w:rsidR="003D0B1A">
        <w:rPr>
          <w:rFonts w:ascii="Times New Roman" w:hAnsi="Times New Roman" w:cs="Times New Roman"/>
          <w:sz w:val="24"/>
        </w:rPr>
        <w:t>1,1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2A35B5">
        <w:rPr>
          <w:rFonts w:ascii="Times New Roman" w:hAnsi="Times New Roman" w:cs="Times New Roman"/>
          <w:sz w:val="24"/>
        </w:rPr>
        <w:t>201</w:t>
      </w:r>
      <w:r w:rsidR="003D0B1A">
        <w:rPr>
          <w:rFonts w:ascii="Times New Roman" w:hAnsi="Times New Roman" w:cs="Times New Roman"/>
          <w:sz w:val="24"/>
        </w:rPr>
        <w:t>9Ocak</w:t>
      </w:r>
      <w:r w:rsidR="00DC031B">
        <w:rPr>
          <w:rFonts w:ascii="Times New Roman" w:hAnsi="Times New Roman" w:cs="Times New Roman"/>
          <w:sz w:val="24"/>
        </w:rPr>
        <w:t>’ta</w:t>
      </w:r>
      <w:r>
        <w:rPr>
          <w:rFonts w:ascii="Times New Roman" w:hAnsi="Times New Roman" w:cs="Times New Roman"/>
          <w:sz w:val="24"/>
        </w:rPr>
        <w:t xml:space="preserve"> toplamda</w:t>
      </w:r>
      <w:r w:rsidR="00333A6F">
        <w:rPr>
          <w:rFonts w:ascii="Times New Roman" w:hAnsi="Times New Roman" w:cs="Times New Roman"/>
          <w:sz w:val="24"/>
        </w:rPr>
        <w:t>i</w:t>
      </w:r>
      <w:r w:rsidR="004905C4">
        <w:rPr>
          <w:rFonts w:ascii="Times New Roman" w:hAnsi="Times New Roman" w:cs="Times New Roman"/>
          <w:sz w:val="24"/>
        </w:rPr>
        <w:t>şgücüne katılım oranı yüzde 5</w:t>
      </w:r>
      <w:r w:rsidR="003D0B1A">
        <w:rPr>
          <w:rFonts w:ascii="Times New Roman" w:hAnsi="Times New Roman" w:cs="Times New Roman"/>
          <w:sz w:val="24"/>
        </w:rPr>
        <w:t>2,2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DC031B">
        <w:rPr>
          <w:rFonts w:ascii="Times New Roman" w:hAnsi="Times New Roman" w:cs="Times New Roman"/>
          <w:sz w:val="24"/>
        </w:rPr>
        <w:t xml:space="preserve">Türkiye </w:t>
      </w:r>
      <w:r w:rsidR="005B6E7B" w:rsidRPr="00DC031B">
        <w:rPr>
          <w:rFonts w:ascii="Times New Roman" w:hAnsi="Times New Roman" w:cs="Times New Roman"/>
          <w:sz w:val="24"/>
        </w:rPr>
        <w:t>mevsim etkilerinden arındırılmış</w:t>
      </w:r>
      <w:r w:rsidR="001A195B" w:rsidRPr="00DC031B">
        <w:rPr>
          <w:rFonts w:ascii="Times New Roman" w:hAnsi="Times New Roman" w:cs="Times New Roman"/>
          <w:sz w:val="24"/>
        </w:rPr>
        <w:t xml:space="preserve"> işsiz sayısı</w:t>
      </w:r>
      <w:r w:rsidR="002404FF" w:rsidRPr="00DC031B">
        <w:rPr>
          <w:rFonts w:ascii="Times New Roman" w:hAnsi="Times New Roman" w:cs="Times New Roman"/>
          <w:sz w:val="24"/>
        </w:rPr>
        <w:t>önceki dönem</w:t>
      </w:r>
      <w:r w:rsidRPr="00DC031B">
        <w:rPr>
          <w:rFonts w:ascii="Times New Roman" w:hAnsi="Times New Roman" w:cs="Times New Roman"/>
          <w:sz w:val="24"/>
        </w:rPr>
        <w:t>e</w:t>
      </w:r>
      <w:r w:rsidR="002A35B5" w:rsidRPr="00DC031B">
        <w:rPr>
          <w:rFonts w:ascii="Times New Roman" w:hAnsi="Times New Roman" w:cs="Times New Roman"/>
          <w:sz w:val="24"/>
        </w:rPr>
        <w:t xml:space="preserve"> göre </w:t>
      </w:r>
      <w:r w:rsidR="003D0B1A">
        <w:rPr>
          <w:rFonts w:ascii="Times New Roman" w:hAnsi="Times New Roman" w:cs="Times New Roman"/>
          <w:sz w:val="24"/>
        </w:rPr>
        <w:t>170</w:t>
      </w:r>
      <w:r w:rsidR="00245751" w:rsidRPr="00DC031B">
        <w:rPr>
          <w:rFonts w:ascii="Times New Roman" w:hAnsi="Times New Roman" w:cs="Times New Roman"/>
          <w:sz w:val="24"/>
        </w:rPr>
        <w:t xml:space="preserve"> bin kişi </w:t>
      </w:r>
      <w:r w:rsidR="00784D01" w:rsidRPr="00DC031B">
        <w:rPr>
          <w:rFonts w:ascii="Times New Roman" w:hAnsi="Times New Roman" w:cs="Times New Roman"/>
          <w:sz w:val="24"/>
        </w:rPr>
        <w:t>artara</w:t>
      </w:r>
      <w:r w:rsidR="004905C4" w:rsidRPr="00DC031B">
        <w:rPr>
          <w:rFonts w:ascii="Times New Roman" w:hAnsi="Times New Roman" w:cs="Times New Roman"/>
          <w:sz w:val="24"/>
        </w:rPr>
        <w:t>k</w:t>
      </w:r>
      <w:r w:rsidR="009D472F">
        <w:rPr>
          <w:rFonts w:ascii="Times New Roman" w:hAnsi="Times New Roman" w:cs="Times New Roman"/>
          <w:sz w:val="24"/>
        </w:rPr>
        <w:t>4</w:t>
      </w:r>
      <w:r w:rsidR="001A195B" w:rsidRPr="00DC031B">
        <w:rPr>
          <w:rFonts w:ascii="Times New Roman" w:hAnsi="Times New Roman" w:cs="Times New Roman"/>
          <w:sz w:val="24"/>
        </w:rPr>
        <w:t xml:space="preserve"> milyon </w:t>
      </w:r>
      <w:r w:rsidR="003D0B1A">
        <w:rPr>
          <w:rFonts w:ascii="Times New Roman" w:hAnsi="Times New Roman" w:cs="Times New Roman"/>
          <w:sz w:val="24"/>
        </w:rPr>
        <w:t>295</w:t>
      </w:r>
      <w:r w:rsidR="001A195B" w:rsidRPr="00DC031B">
        <w:rPr>
          <w:rFonts w:ascii="Times New Roman" w:hAnsi="Times New Roman" w:cs="Times New Roman"/>
          <w:sz w:val="24"/>
        </w:rPr>
        <w:t xml:space="preserve"> bin</w:t>
      </w:r>
      <w:r w:rsidR="00784D01" w:rsidRPr="00DC031B">
        <w:rPr>
          <w:rFonts w:ascii="Times New Roman" w:hAnsi="Times New Roman" w:cs="Times New Roman"/>
          <w:sz w:val="24"/>
        </w:rPr>
        <w:t xml:space="preserve"> kişiye ulaştı</w:t>
      </w:r>
      <w:r w:rsidR="0027053F" w:rsidRPr="00DC031B">
        <w:rPr>
          <w:rFonts w:ascii="Times New Roman" w:hAnsi="Times New Roman" w:cs="Times New Roman"/>
          <w:sz w:val="24"/>
        </w:rPr>
        <w:t xml:space="preserve">. İşsizlik oranı </w:t>
      </w:r>
      <w:r w:rsidRPr="00DC031B">
        <w:rPr>
          <w:rFonts w:ascii="Times New Roman" w:hAnsi="Times New Roman" w:cs="Times New Roman"/>
          <w:sz w:val="24"/>
        </w:rPr>
        <w:t>topl</w:t>
      </w:r>
      <w:r w:rsidR="00A26574" w:rsidRPr="00DC031B">
        <w:rPr>
          <w:rFonts w:ascii="Times New Roman" w:hAnsi="Times New Roman" w:cs="Times New Roman"/>
          <w:sz w:val="24"/>
        </w:rPr>
        <w:t>amda yüzde 1</w:t>
      </w:r>
      <w:r w:rsidR="003D0B1A">
        <w:rPr>
          <w:rFonts w:ascii="Times New Roman" w:hAnsi="Times New Roman" w:cs="Times New Roman"/>
          <w:sz w:val="24"/>
        </w:rPr>
        <w:t>4</w:t>
      </w:r>
      <w:r w:rsidR="00363F39" w:rsidRPr="00DC031B">
        <w:rPr>
          <w:rFonts w:ascii="Times New Roman" w:hAnsi="Times New Roman" w:cs="Times New Roman"/>
          <w:sz w:val="24"/>
        </w:rPr>
        <w:t>,</w:t>
      </w:r>
      <w:r w:rsidR="003D0B1A">
        <w:rPr>
          <w:rFonts w:ascii="Times New Roman" w:hAnsi="Times New Roman" w:cs="Times New Roman"/>
          <w:sz w:val="24"/>
        </w:rPr>
        <w:t>7</w:t>
      </w:r>
      <w:r w:rsidR="00054B5D" w:rsidRPr="00DC031B">
        <w:rPr>
          <w:rFonts w:ascii="Times New Roman" w:hAnsi="Times New Roman" w:cs="Times New Roman"/>
          <w:sz w:val="24"/>
        </w:rPr>
        <w:t>; kadınlarda yüzde 1</w:t>
      </w:r>
      <w:r w:rsidR="003D0B1A">
        <w:rPr>
          <w:rFonts w:ascii="Times New Roman" w:hAnsi="Times New Roman" w:cs="Times New Roman"/>
          <w:sz w:val="24"/>
        </w:rPr>
        <w:t>6,5</w:t>
      </w:r>
      <w:r w:rsidR="00CD44AA" w:rsidRPr="00DC031B">
        <w:rPr>
          <w:rFonts w:ascii="Times New Roman" w:hAnsi="Times New Roman" w:cs="Times New Roman"/>
          <w:sz w:val="24"/>
        </w:rPr>
        <w:t>;</w:t>
      </w:r>
      <w:r w:rsidR="001A195B" w:rsidRPr="00DC031B">
        <w:rPr>
          <w:rFonts w:ascii="Times New Roman" w:hAnsi="Times New Roman" w:cs="Times New Roman"/>
          <w:sz w:val="24"/>
        </w:rPr>
        <w:t xml:space="preserve"> erkeklerde ise yüzde </w:t>
      </w:r>
      <w:r w:rsidR="003D0B1A">
        <w:rPr>
          <w:rFonts w:ascii="Times New Roman" w:hAnsi="Times New Roman" w:cs="Times New Roman"/>
          <w:sz w:val="24"/>
        </w:rPr>
        <w:t>13,8</w:t>
      </w:r>
      <w:r w:rsidR="006577F3" w:rsidRPr="00DC031B">
        <w:rPr>
          <w:rFonts w:ascii="Times New Roman" w:hAnsi="Times New Roman" w:cs="Times New Roman"/>
          <w:sz w:val="24"/>
        </w:rPr>
        <w:t xml:space="preserve"> olarak gerçekleşti</w:t>
      </w:r>
      <w:r w:rsidR="001A195B" w:rsidRPr="00DC031B">
        <w:rPr>
          <w:rFonts w:ascii="Times New Roman" w:hAnsi="Times New Roman" w:cs="Times New Roman"/>
          <w:sz w:val="24"/>
        </w:rPr>
        <w:t>.</w:t>
      </w:r>
    </w:p>
    <w:p w:rsidR="00DE7C48" w:rsidRDefault="00ED7524" w:rsidP="00462BDA">
      <w:pPr>
        <w:spacing w:line="36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8963E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Ocak</w:t>
      </w:r>
      <w:r w:rsidR="002F1FE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</w:t>
      </w:r>
      <w:r w:rsidR="008963E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9</w:t>
      </w:r>
      <w:bookmarkStart w:id="0" w:name="_GoBack"/>
      <w:r w:rsidR="00DE7C48">
        <w:rPr>
          <w:noProof/>
        </w:rPr>
        <w:drawing>
          <wp:inline distT="0" distB="0" distL="0" distR="0">
            <wp:extent cx="5972810" cy="2052084"/>
            <wp:effectExtent l="0" t="0" r="8890" b="571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F87CCD" w:rsidRPr="00107728" w:rsidRDefault="00F87CCD" w:rsidP="00462BDA">
      <w:pPr>
        <w:spacing w:line="360" w:lineRule="auto"/>
        <w:rPr>
          <w:noProof/>
        </w:rPr>
      </w:pPr>
      <w:r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38" w:rsidRDefault="00636938" w:rsidP="00C04441">
      <w:pPr>
        <w:spacing w:after="0" w:line="240" w:lineRule="auto"/>
      </w:pPr>
      <w:r>
        <w:separator/>
      </w:r>
    </w:p>
  </w:endnote>
  <w:endnote w:type="continuationSeparator" w:id="1">
    <w:p w:rsidR="00636938" w:rsidRDefault="00636938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38" w:rsidRDefault="00636938" w:rsidP="00C04441">
      <w:pPr>
        <w:spacing w:after="0" w:line="240" w:lineRule="auto"/>
      </w:pPr>
      <w:r>
        <w:separator/>
      </w:r>
    </w:p>
  </w:footnote>
  <w:footnote w:type="continuationSeparator" w:id="1">
    <w:p w:rsidR="00636938" w:rsidRDefault="00636938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106CD"/>
    <w:rsid w:val="00054B5D"/>
    <w:rsid w:val="00054D0A"/>
    <w:rsid w:val="000603A6"/>
    <w:rsid w:val="000701FD"/>
    <w:rsid w:val="000A0940"/>
    <w:rsid w:val="000B7EA9"/>
    <w:rsid w:val="000D18BE"/>
    <w:rsid w:val="000E7256"/>
    <w:rsid w:val="000F055A"/>
    <w:rsid w:val="000F3A7D"/>
    <w:rsid w:val="000F534F"/>
    <w:rsid w:val="00107728"/>
    <w:rsid w:val="0011105D"/>
    <w:rsid w:val="001243A0"/>
    <w:rsid w:val="0012715C"/>
    <w:rsid w:val="001373A2"/>
    <w:rsid w:val="00141A4E"/>
    <w:rsid w:val="00145C0B"/>
    <w:rsid w:val="00151B83"/>
    <w:rsid w:val="001544CF"/>
    <w:rsid w:val="00157358"/>
    <w:rsid w:val="00160C8F"/>
    <w:rsid w:val="00160E9B"/>
    <w:rsid w:val="001678C7"/>
    <w:rsid w:val="001A195B"/>
    <w:rsid w:val="001A69D2"/>
    <w:rsid w:val="001C6BBF"/>
    <w:rsid w:val="001E11A2"/>
    <w:rsid w:val="001E5A63"/>
    <w:rsid w:val="001E65DA"/>
    <w:rsid w:val="001E7AE1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66BB9"/>
    <w:rsid w:val="0027053F"/>
    <w:rsid w:val="00271FF8"/>
    <w:rsid w:val="002A35B5"/>
    <w:rsid w:val="002A5E4E"/>
    <w:rsid w:val="002B53E4"/>
    <w:rsid w:val="002D2F61"/>
    <w:rsid w:val="002D3E19"/>
    <w:rsid w:val="002F1FE8"/>
    <w:rsid w:val="00317719"/>
    <w:rsid w:val="00333A6F"/>
    <w:rsid w:val="00351561"/>
    <w:rsid w:val="00357954"/>
    <w:rsid w:val="00363F39"/>
    <w:rsid w:val="003641B3"/>
    <w:rsid w:val="003A57CB"/>
    <w:rsid w:val="003B5279"/>
    <w:rsid w:val="003C66BD"/>
    <w:rsid w:val="003C6747"/>
    <w:rsid w:val="003D0B1A"/>
    <w:rsid w:val="003D39A5"/>
    <w:rsid w:val="003E0504"/>
    <w:rsid w:val="003E5AD8"/>
    <w:rsid w:val="003F6B23"/>
    <w:rsid w:val="00402F84"/>
    <w:rsid w:val="00412D10"/>
    <w:rsid w:val="00424CC0"/>
    <w:rsid w:val="00432DF5"/>
    <w:rsid w:val="00452794"/>
    <w:rsid w:val="00455CF3"/>
    <w:rsid w:val="00461AA0"/>
    <w:rsid w:val="00462BDA"/>
    <w:rsid w:val="00467A4B"/>
    <w:rsid w:val="00471191"/>
    <w:rsid w:val="0048395E"/>
    <w:rsid w:val="004905C4"/>
    <w:rsid w:val="00496F35"/>
    <w:rsid w:val="004B6587"/>
    <w:rsid w:val="0050484D"/>
    <w:rsid w:val="00516747"/>
    <w:rsid w:val="00517288"/>
    <w:rsid w:val="00522942"/>
    <w:rsid w:val="00522A6C"/>
    <w:rsid w:val="005314E3"/>
    <w:rsid w:val="00531805"/>
    <w:rsid w:val="00532BDF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1119F"/>
    <w:rsid w:val="00636938"/>
    <w:rsid w:val="006577F3"/>
    <w:rsid w:val="00664D6B"/>
    <w:rsid w:val="00670F81"/>
    <w:rsid w:val="00677B0D"/>
    <w:rsid w:val="00686A55"/>
    <w:rsid w:val="006B2D78"/>
    <w:rsid w:val="006D41B5"/>
    <w:rsid w:val="0070186C"/>
    <w:rsid w:val="007134AC"/>
    <w:rsid w:val="00726FD9"/>
    <w:rsid w:val="00730CD1"/>
    <w:rsid w:val="00731B2B"/>
    <w:rsid w:val="007330A1"/>
    <w:rsid w:val="00734FA5"/>
    <w:rsid w:val="00735FAF"/>
    <w:rsid w:val="007441EB"/>
    <w:rsid w:val="00760EBE"/>
    <w:rsid w:val="00767044"/>
    <w:rsid w:val="007736BE"/>
    <w:rsid w:val="00774754"/>
    <w:rsid w:val="00783D36"/>
    <w:rsid w:val="00784D01"/>
    <w:rsid w:val="007907AD"/>
    <w:rsid w:val="007B58E6"/>
    <w:rsid w:val="007E2233"/>
    <w:rsid w:val="007E639F"/>
    <w:rsid w:val="007E6560"/>
    <w:rsid w:val="007F7E1F"/>
    <w:rsid w:val="00824AB5"/>
    <w:rsid w:val="00835D94"/>
    <w:rsid w:val="008547CD"/>
    <w:rsid w:val="008820C9"/>
    <w:rsid w:val="00890079"/>
    <w:rsid w:val="008963EA"/>
    <w:rsid w:val="008A0BE9"/>
    <w:rsid w:val="008A575D"/>
    <w:rsid w:val="008B5FD9"/>
    <w:rsid w:val="008B6C94"/>
    <w:rsid w:val="008C113D"/>
    <w:rsid w:val="008C2C15"/>
    <w:rsid w:val="008C7F9E"/>
    <w:rsid w:val="008D1077"/>
    <w:rsid w:val="008E7766"/>
    <w:rsid w:val="008F0957"/>
    <w:rsid w:val="008F373C"/>
    <w:rsid w:val="009044A0"/>
    <w:rsid w:val="00907E0D"/>
    <w:rsid w:val="009113D4"/>
    <w:rsid w:val="009159F8"/>
    <w:rsid w:val="009216A9"/>
    <w:rsid w:val="00923FD3"/>
    <w:rsid w:val="0092414A"/>
    <w:rsid w:val="009249C4"/>
    <w:rsid w:val="0092688D"/>
    <w:rsid w:val="00935B34"/>
    <w:rsid w:val="0096558F"/>
    <w:rsid w:val="00965AE0"/>
    <w:rsid w:val="00970DB1"/>
    <w:rsid w:val="00973D19"/>
    <w:rsid w:val="00977C64"/>
    <w:rsid w:val="00990337"/>
    <w:rsid w:val="00995BB7"/>
    <w:rsid w:val="009A2AEB"/>
    <w:rsid w:val="009A48F7"/>
    <w:rsid w:val="009A5189"/>
    <w:rsid w:val="009A6E86"/>
    <w:rsid w:val="009D472F"/>
    <w:rsid w:val="009F0A83"/>
    <w:rsid w:val="009F54F1"/>
    <w:rsid w:val="00A2391E"/>
    <w:rsid w:val="00A26574"/>
    <w:rsid w:val="00A32532"/>
    <w:rsid w:val="00A705F6"/>
    <w:rsid w:val="00A7284F"/>
    <w:rsid w:val="00A74D07"/>
    <w:rsid w:val="00A77365"/>
    <w:rsid w:val="00A9496C"/>
    <w:rsid w:val="00AD2065"/>
    <w:rsid w:val="00AF1830"/>
    <w:rsid w:val="00AF7253"/>
    <w:rsid w:val="00B05178"/>
    <w:rsid w:val="00B15E53"/>
    <w:rsid w:val="00B27A6A"/>
    <w:rsid w:val="00B27C50"/>
    <w:rsid w:val="00B34DA9"/>
    <w:rsid w:val="00B438CA"/>
    <w:rsid w:val="00B53BE3"/>
    <w:rsid w:val="00B62061"/>
    <w:rsid w:val="00B66002"/>
    <w:rsid w:val="00B71707"/>
    <w:rsid w:val="00B76F8D"/>
    <w:rsid w:val="00B82CB5"/>
    <w:rsid w:val="00B957A3"/>
    <w:rsid w:val="00B97F9C"/>
    <w:rsid w:val="00BA5C1B"/>
    <w:rsid w:val="00BB1743"/>
    <w:rsid w:val="00BC294E"/>
    <w:rsid w:val="00BC318C"/>
    <w:rsid w:val="00BC5F10"/>
    <w:rsid w:val="00BC631A"/>
    <w:rsid w:val="00BF11A4"/>
    <w:rsid w:val="00BF5666"/>
    <w:rsid w:val="00C04441"/>
    <w:rsid w:val="00C10B55"/>
    <w:rsid w:val="00C144CC"/>
    <w:rsid w:val="00C21D8B"/>
    <w:rsid w:val="00C24C09"/>
    <w:rsid w:val="00C40D96"/>
    <w:rsid w:val="00C67B1D"/>
    <w:rsid w:val="00C707D3"/>
    <w:rsid w:val="00C71B87"/>
    <w:rsid w:val="00C85AD2"/>
    <w:rsid w:val="00C97197"/>
    <w:rsid w:val="00C97C3B"/>
    <w:rsid w:val="00C97EF7"/>
    <w:rsid w:val="00CA6DFE"/>
    <w:rsid w:val="00CB21E0"/>
    <w:rsid w:val="00CC76E5"/>
    <w:rsid w:val="00CC7AA1"/>
    <w:rsid w:val="00CC7D5F"/>
    <w:rsid w:val="00CD44AA"/>
    <w:rsid w:val="00CD4A2C"/>
    <w:rsid w:val="00D1035F"/>
    <w:rsid w:val="00D20A2B"/>
    <w:rsid w:val="00D2299D"/>
    <w:rsid w:val="00D23355"/>
    <w:rsid w:val="00D25C4D"/>
    <w:rsid w:val="00D605AD"/>
    <w:rsid w:val="00D93669"/>
    <w:rsid w:val="00DB1389"/>
    <w:rsid w:val="00DC031B"/>
    <w:rsid w:val="00DC5FDC"/>
    <w:rsid w:val="00DE7934"/>
    <w:rsid w:val="00DE7C48"/>
    <w:rsid w:val="00E13AD5"/>
    <w:rsid w:val="00E16653"/>
    <w:rsid w:val="00E31FD6"/>
    <w:rsid w:val="00E42AC8"/>
    <w:rsid w:val="00E42BBF"/>
    <w:rsid w:val="00E433A7"/>
    <w:rsid w:val="00E465E9"/>
    <w:rsid w:val="00E57799"/>
    <w:rsid w:val="00E619A9"/>
    <w:rsid w:val="00E66EA9"/>
    <w:rsid w:val="00E92F7C"/>
    <w:rsid w:val="00E95D95"/>
    <w:rsid w:val="00EA6001"/>
    <w:rsid w:val="00EB4BA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51D9"/>
    <w:rsid w:val="00F87CCD"/>
    <w:rsid w:val="00F9792D"/>
    <w:rsid w:val="00FB288F"/>
    <w:rsid w:val="00FB457F"/>
    <w:rsid w:val="00FD0F6A"/>
    <w:rsid w:val="00FD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_al__ma_Sayfas_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HH_0419\HH_Analiz_aral&#305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Sayfa1!$M$31</c:f>
              <c:strCache>
                <c:ptCount val="1"/>
                <c:pt idx="0">
                  <c:v>İşgücü</c:v>
                </c:pt>
              </c:strCache>
            </c:strRef>
          </c:tx>
          <c:spPr>
            <a:ln w="47625" cap="rnd">
              <a:solidFill>
                <a:srgbClr val="00206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Sayfa1!$L$32:$L$44</c:f>
              <c:numCache>
                <c:formatCode>mmm/yy</c:formatCode>
                <c:ptCount val="1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</c:numCache>
            </c:numRef>
          </c:cat>
          <c:val>
            <c:numRef>
              <c:f>Sayfa1!$M$32:$M$44</c:f>
              <c:numCache>
                <c:formatCode>0.0</c:formatCode>
                <c:ptCount val="13"/>
                <c:pt idx="0">
                  <c:v>31.437999999999999</c:v>
                </c:pt>
                <c:pt idx="1">
                  <c:v>31.52</c:v>
                </c:pt>
                <c:pt idx="2">
                  <c:v>31.709</c:v>
                </c:pt>
                <c:pt idx="3">
                  <c:v>32.095000000000013</c:v>
                </c:pt>
                <c:pt idx="4">
                  <c:v>32.274000000000001</c:v>
                </c:pt>
                <c:pt idx="5">
                  <c:v>32.629000000000012</c:v>
                </c:pt>
                <c:pt idx="6">
                  <c:v>32.796000000000021</c:v>
                </c:pt>
                <c:pt idx="7">
                  <c:v>32.989000000000004</c:v>
                </c:pt>
                <c:pt idx="8">
                  <c:v>32.813000000000002</c:v>
                </c:pt>
                <c:pt idx="9">
                  <c:v>32.658000000000001</c:v>
                </c:pt>
                <c:pt idx="10">
                  <c:v>32.295000000000016</c:v>
                </c:pt>
                <c:pt idx="11">
                  <c:v>31.957000000000001</c:v>
                </c:pt>
                <c:pt idx="12">
                  <c:v>31.824999999999999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9BF2-4DE0-AA10-78B019737EDB}"/>
            </c:ext>
          </c:extLst>
        </c:ser>
        <c:ser>
          <c:idx val="1"/>
          <c:order val="1"/>
          <c:tx>
            <c:strRef>
              <c:f>Sayfa1!$N$31</c:f>
              <c:strCache>
                <c:ptCount val="1"/>
                <c:pt idx="0">
                  <c:v>İstihdam</c:v>
                </c:pt>
              </c:strCache>
            </c:strRef>
          </c:tx>
          <c:spPr>
            <a:ln w="4762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Sayfa1!$L$32:$L$44</c:f>
              <c:numCache>
                <c:formatCode>mmm/yy</c:formatCode>
                <c:ptCount val="1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</c:numCache>
            </c:numRef>
          </c:cat>
          <c:val>
            <c:numRef>
              <c:f>Sayfa1!$N$32:$N$44</c:f>
              <c:numCache>
                <c:formatCode>0.0</c:formatCode>
                <c:ptCount val="13"/>
                <c:pt idx="0">
                  <c:v>28.029</c:v>
                </c:pt>
                <c:pt idx="1">
                  <c:v>28.166</c:v>
                </c:pt>
                <c:pt idx="2">
                  <c:v>28.498999999999988</c:v>
                </c:pt>
                <c:pt idx="3">
                  <c:v>29.009</c:v>
                </c:pt>
                <c:pt idx="4">
                  <c:v>29.138000000000005</c:v>
                </c:pt>
                <c:pt idx="5">
                  <c:v>29.314000000000007</c:v>
                </c:pt>
                <c:pt idx="6">
                  <c:v>29.264999999999993</c:v>
                </c:pt>
                <c:pt idx="7">
                  <c:v>29.318000000000001</c:v>
                </c:pt>
                <c:pt idx="8">
                  <c:v>29.062999999999988</c:v>
                </c:pt>
                <c:pt idx="9">
                  <c:v>28.87</c:v>
                </c:pt>
                <c:pt idx="10">
                  <c:v>28.314000000000007</c:v>
                </c:pt>
                <c:pt idx="11">
                  <c:v>27.655000000000001</c:v>
                </c:pt>
                <c:pt idx="12">
                  <c:v>27.157000000000007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9BF2-4DE0-AA10-78B019737EDB}"/>
            </c:ext>
          </c:extLst>
        </c:ser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axId val="124084224"/>
        <c:axId val="124085760"/>
      </c:lineChart>
      <c:dateAx>
        <c:axId val="124084224"/>
        <c:scaling>
          <c:orientation val="minMax"/>
        </c:scaling>
        <c:axPos val="b"/>
        <c:numFmt formatCode="mmm/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24085760"/>
        <c:crosses val="autoZero"/>
        <c:auto val="1"/>
        <c:lblOffset val="100"/>
        <c:baseTimeUnit val="months"/>
      </c:dateAx>
      <c:valAx>
        <c:axId val="124085760"/>
        <c:scaling>
          <c:orientation val="minMax"/>
          <c:min val="27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/>
                  <a:t>Milyon kişi</a:t>
                </a:r>
                <a:endParaRPr lang="en-GB"/>
              </a:p>
            </c:rich>
          </c:tx>
          <c:spPr>
            <a:noFill/>
            <a:ln>
              <a:noFill/>
            </a:ln>
            <a:effectLst/>
          </c:spPr>
        </c:title>
        <c:numFmt formatCode="0" sourceLinked="0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2408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Sayfa2!$B$11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Sayfa2!$C$11:$H$11</c:f>
              <c:numCache>
                <c:formatCode>0.0</c:formatCode>
                <c:ptCount val="6"/>
                <c:pt idx="0">
                  <c:v>61.017000000000003</c:v>
                </c:pt>
                <c:pt idx="1">
                  <c:v>31.824999999999999</c:v>
                </c:pt>
                <c:pt idx="2">
                  <c:v>4.6179999999999977</c:v>
                </c:pt>
                <c:pt idx="3">
                  <c:v>22.54</c:v>
                </c:pt>
                <c:pt idx="4">
                  <c:v>4.6679999999999975</c:v>
                </c:pt>
                <c:pt idx="5">
                  <c:v>29.192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F0-48AB-ABDA-471C37927DF0}"/>
            </c:ext>
          </c:extLst>
        </c:ser>
        <c:ser>
          <c:idx val="1"/>
          <c:order val="1"/>
          <c:tx>
            <c:strRef>
              <c:f>Sayfa2!$B$12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rgbClr val="EEECE1">
                <a:lumMod val="50000"/>
              </a:srgb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Sayfa2!$C$12:$H$12</c:f>
              <c:numCache>
                <c:formatCode>0.0</c:formatCode>
                <c:ptCount val="6"/>
                <c:pt idx="0">
                  <c:v>30.152000000000001</c:v>
                </c:pt>
                <c:pt idx="1">
                  <c:v>21.45</c:v>
                </c:pt>
                <c:pt idx="2">
                  <c:v>2.698</c:v>
                </c:pt>
                <c:pt idx="3">
                  <c:v>15.798999999999999</c:v>
                </c:pt>
                <c:pt idx="4">
                  <c:v>2.9539999999999997</c:v>
                </c:pt>
                <c:pt idx="5">
                  <c:v>8.702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F0-48AB-ABDA-471C37927DF0}"/>
            </c:ext>
          </c:extLst>
        </c:ser>
        <c:ser>
          <c:idx val="2"/>
          <c:order val="2"/>
          <c:tx>
            <c:strRef>
              <c:f>Sayfa2!$B$13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9BBB59">
                <a:lumMod val="50000"/>
              </a:srgb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Sayfa2!$C$10:$H$10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Sayfa2!$C$13:$H$13</c:f>
              <c:numCache>
                <c:formatCode>0.0</c:formatCode>
                <c:ptCount val="6"/>
                <c:pt idx="0">
                  <c:v>30.864999999999991</c:v>
                </c:pt>
                <c:pt idx="1">
                  <c:v>10.375000000000004</c:v>
                </c:pt>
                <c:pt idx="2">
                  <c:v>1.9200000000000004</c:v>
                </c:pt>
                <c:pt idx="3">
                  <c:v>6.7409999999999997</c:v>
                </c:pt>
                <c:pt idx="4">
                  <c:v>1.714</c:v>
                </c:pt>
                <c:pt idx="5">
                  <c:v>20.49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F0-48AB-ABDA-471C37927DF0}"/>
            </c:ext>
          </c:extLst>
        </c:ser>
        <c:dLbls>
          <c:showVal val="1"/>
        </c:dLbls>
        <c:overlap val="-25"/>
        <c:axId val="124108800"/>
        <c:axId val="124110336"/>
      </c:barChart>
      <c:catAx>
        <c:axId val="12410880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defRPr>
            </a:pPr>
            <a:endParaRPr lang="tr-TR"/>
          </a:p>
        </c:txPr>
        <c:crossAx val="124110336"/>
        <c:crosses val="autoZero"/>
        <c:auto val="1"/>
        <c:lblAlgn val="ctr"/>
        <c:lblOffset val="100"/>
      </c:catAx>
      <c:valAx>
        <c:axId val="124110336"/>
        <c:scaling>
          <c:orientation val="minMax"/>
        </c:scaling>
        <c:delete val="1"/>
        <c:axPos val="l"/>
        <c:numFmt formatCode="0.0" sourceLinked="1"/>
        <c:tickLblPos val="nextTo"/>
        <c:crossAx val="124108800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Sayfa3!$B$4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Sayfa3!$C$4:$F$4</c:f>
              <c:numCache>
                <c:formatCode>General</c:formatCode>
                <c:ptCount val="4"/>
                <c:pt idx="0">
                  <c:v>52.2</c:v>
                </c:pt>
                <c:pt idx="1">
                  <c:v>44.5</c:v>
                </c:pt>
                <c:pt idx="2">
                  <c:v>14.7</c:v>
                </c:pt>
                <c:pt idx="3">
                  <c:v>16.8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F-424F-82E7-CC225DCF32F5}"/>
            </c:ext>
          </c:extLst>
        </c:ser>
        <c:ser>
          <c:idx val="1"/>
          <c:order val="1"/>
          <c:tx>
            <c:strRef>
              <c:f>Sayfa3!$B$5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Sayfa3!$C$5:$F$5</c:f>
              <c:numCache>
                <c:formatCode>General</c:formatCode>
                <c:ptCount val="4"/>
                <c:pt idx="0">
                  <c:v>71.099999999999994</c:v>
                </c:pt>
                <c:pt idx="1">
                  <c:v>61.3</c:v>
                </c:pt>
                <c:pt idx="2">
                  <c:v>13.8</c:v>
                </c:pt>
                <c:pt idx="3">
                  <c:v>15.3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CF-424F-82E7-CC225DCF32F5}"/>
            </c:ext>
          </c:extLst>
        </c:ser>
        <c:ser>
          <c:idx val="2"/>
          <c:order val="2"/>
          <c:tx>
            <c:strRef>
              <c:f>Sayfa3!$B$6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Sayfa3!$C$6:$F$6</c:f>
              <c:numCache>
                <c:formatCode>General</c:formatCode>
                <c:ptCount val="4"/>
                <c:pt idx="0">
                  <c:v>33.6</c:v>
                </c:pt>
                <c:pt idx="1">
                  <c:v>28.1</c:v>
                </c:pt>
                <c:pt idx="2">
                  <c:v>16.5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CF-424F-82E7-CC225DCF32F5}"/>
            </c:ext>
          </c:extLst>
        </c:ser>
        <c:dLbls>
          <c:showVal val="1"/>
        </c:dLbls>
        <c:overlap val="-25"/>
        <c:axId val="124681600"/>
        <c:axId val="124830848"/>
      </c:barChart>
      <c:catAx>
        <c:axId val="12468160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tr-TR"/>
          </a:p>
        </c:txPr>
        <c:crossAx val="124830848"/>
        <c:crosses val="autoZero"/>
        <c:auto val="1"/>
        <c:lblAlgn val="ctr"/>
        <c:lblOffset val="100"/>
      </c:catAx>
      <c:valAx>
        <c:axId val="124830848"/>
        <c:scaling>
          <c:orientation val="minMax"/>
        </c:scaling>
        <c:delete val="1"/>
        <c:axPos val="l"/>
        <c:numFmt formatCode="General" sourceLinked="1"/>
        <c:tickLblPos val="nextTo"/>
        <c:crossAx val="124681600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1200"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BCEB4-8DE3-438B-A2CF-5BB74DED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2015-01-15T08:00:00Z</cp:lastPrinted>
  <dcterms:created xsi:type="dcterms:W3CDTF">2019-04-19T07:17:00Z</dcterms:created>
  <dcterms:modified xsi:type="dcterms:W3CDTF">2019-04-19T07:17:00Z</dcterms:modified>
</cp:coreProperties>
</file>